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Технико-экономический анализ деятельности предприятий отрасли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E5240E" w:rsidR="00A77598" w:rsidRPr="00872EF7" w:rsidRDefault="00872E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28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89C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0489B9" w:rsidR="004475DA" w:rsidRPr="00872EF7" w:rsidRDefault="00872E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9E4CFE" w14:textId="46D17189" w:rsidR="00A928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82882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_Toc209782882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3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16FC5F01" w14:textId="63F724B2" w:rsidR="00A9289C" w:rsidRDefault="00997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3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_Toc209782883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3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AD55BB6" w14:textId="7B2C464D" w:rsidR="00A9289C" w:rsidRDefault="00997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4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_Toc209782884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3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162C57B8" w14:textId="27556A0C" w:rsidR="00A9289C" w:rsidRDefault="00997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5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_Toc209782885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4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3E2DF866" w14:textId="626DF999" w:rsidR="00A9289C" w:rsidRDefault="00997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6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_Toc209782886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049F30A2" w14:textId="24A62FF1" w:rsidR="00A9289C" w:rsidRDefault="00997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7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_Toc209782887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A196694" w14:textId="5B61B4D4" w:rsidR="00A9289C" w:rsidRDefault="00997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8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_Toc209782888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B8130A7" w14:textId="1B9D0E82" w:rsidR="00A9289C" w:rsidRDefault="00997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9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_Toc209782889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56345E4B" w14:textId="265122EA" w:rsidR="00A9289C" w:rsidRDefault="00997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0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_Toc209782890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6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3212452E" w14:textId="154EE75C" w:rsidR="00A9289C" w:rsidRDefault="00997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1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_Toc209782891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7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01F4B8B3" w14:textId="3C87E10F" w:rsidR="00A9289C" w:rsidRDefault="00997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2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_Toc209782892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8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245E6D57" w14:textId="5BCA9435" w:rsidR="00A9289C" w:rsidRDefault="009971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3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_Toc209782893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559572EE" w14:textId="1613AA5E" w:rsidR="00A9289C" w:rsidRDefault="00997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4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_Toc209782894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166FA83" w14:textId="0B55238A" w:rsidR="00A9289C" w:rsidRDefault="00997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5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_Toc209782895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46A55C90" w14:textId="2870FD70" w:rsidR="00A9289C" w:rsidRDefault="00997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6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_Toc209782896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50DCEC82" w14:textId="6D63F25A" w:rsidR="00A9289C" w:rsidRDefault="00997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7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_Toc209782897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466A1C28" w14:textId="196D989A" w:rsidR="00A9289C" w:rsidRDefault="00997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8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_Toc209782898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FC6F7B4" w14:textId="7A062A73" w:rsidR="00A9289C" w:rsidRDefault="009971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9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_Toc209782899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0DD49713" w14:textId="0F392DC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82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подхода к анализу хозяйственной деятельности предприятий нефтегазового комплекса с учетом отраслевой специфики. Освоение методов технико-экономического анализа для оценки эффективности производства, использования ресурсов и управления затратами. Развитие навыков принятия управленческих решений на основе анализа финансово-экономических показателей и рыночных тенденций ТЭК. Изучение цифровых инструментов анализа данных и моделирования процессов для оптимизации деятельности предприятий нефтегазового комплекса. Понимание структуры топливно-энергетического рынка и его влияния на стратегическое планирование в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828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Технико-экономический анализ деятельности предприятий отрасли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82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28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28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28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28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28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28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28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28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28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 xml:space="preserve">ПК-3 - Способен формировать систему управления предприятием нефтегазовой отрасли, в </w:t>
            </w:r>
            <w:proofErr w:type="spellStart"/>
            <w:r w:rsidRPr="00A9289C">
              <w:rPr>
                <w:rFonts w:ascii="Times New Roman" w:hAnsi="Times New Roman" w:cs="Times New Roman"/>
              </w:rPr>
              <w:t>т.ч</w:t>
            </w:r>
            <w:proofErr w:type="spellEnd"/>
            <w:r w:rsidRPr="00A9289C">
              <w:rPr>
                <w:rFonts w:ascii="Times New Roman" w:hAnsi="Times New Roman" w:cs="Times New Roman"/>
              </w:rPr>
              <w:t>. с применением цифровых технологии для решения задач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28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lang w:bidi="ru-RU"/>
              </w:rPr>
              <w:t>ПК-3.2 - Учитывает структуру топливно-энергетического рынка, при принятии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28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289C">
              <w:rPr>
                <w:rFonts w:ascii="Times New Roman" w:hAnsi="Times New Roman" w:cs="Times New Roman"/>
              </w:rPr>
              <w:t>Основы функционирования предприятий нефтегазового комплекса (добыча, транспортировка, переработка).</w:t>
            </w:r>
            <w:r w:rsidR="00316402" w:rsidRPr="00A9289C">
              <w:rPr>
                <w:rFonts w:ascii="Times New Roman" w:hAnsi="Times New Roman" w:cs="Times New Roman"/>
              </w:rPr>
              <w:br/>
              <w:t>Ключевые показатели эффективности (</w:t>
            </w:r>
            <w:r w:rsidR="00316402" w:rsidRPr="00A9289C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A9289C">
              <w:rPr>
                <w:rFonts w:ascii="Times New Roman" w:hAnsi="Times New Roman" w:cs="Times New Roman"/>
              </w:rPr>
              <w:t>) в НГК: рентабельность, себестоимость, фондоотдача, производительность труда. Факторы, влияющие на конъюнктуру топливно-энергетического рынка (спрос, предложение, цены, геополитика).</w:t>
            </w:r>
            <w:r w:rsidRPr="00A928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28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289C">
              <w:rPr>
                <w:rFonts w:ascii="Times New Roman" w:hAnsi="Times New Roman" w:cs="Times New Roman"/>
              </w:rPr>
              <w:t>Проводить технико-экономический анализ деятельности предприятия (оценка затрат, эффективности инвестиций, рентабельности).Формировать управленческие решения на основе анализа рыночной конъюнктуры и отраслевых трендов.</w:t>
            </w:r>
            <w:r w:rsidR="00FD518F" w:rsidRPr="00A9289C">
              <w:rPr>
                <w:rFonts w:ascii="Times New Roman" w:hAnsi="Times New Roman" w:cs="Times New Roman"/>
              </w:rPr>
              <w:br/>
              <w:t>Оценивать влияние внешних факторов (изменение цен на нефть, госрегулирование) на финансовые результаты компании.</w:t>
            </w:r>
            <w:r w:rsidRPr="00A928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28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289C">
              <w:rPr>
                <w:rFonts w:ascii="Times New Roman" w:hAnsi="Times New Roman" w:cs="Times New Roman"/>
              </w:rPr>
              <w:t>Разработка рекомендаций по оптимизации производственных и финансовых процессов. Составление отчетов и аналитических записок для руководства предприятия. Применение методов прогнозирования (трендовый анализ, регрессионные модели) для стратегического планирования</w:t>
            </w:r>
            <w:r w:rsidRPr="00A928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28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828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технико-экономический анализ в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цели, задачи и методы технико-экономического анализа (ТЭА) в нефтегазовой отрасли. Изучаются особенности функционирования предприятий НГК (добыча, транспортировка, переработка). Анализируются ключевые отраслевые показатели: рентабельность, себестоимость, фондоотдача. Рассматриваются факторы, влияющие на конъюнктуру ТЭК (цены на нефть, спрос, геополитика).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4207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AAD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производственно-хозяйственной деятельности предприятий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B73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методы оценки эффективности производства: анализ структуры затрат, производительности труда, использования основных фондов. Рассматриваются особенности калькуляции себестоимости в нефтедобыче и переработке. Разбираются факторы, влияющие на финансовые результаты (изменение цен, налоговая политика, логистические издержки).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78E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524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00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78C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02E7B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8C2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Инвестиционный анализ и оценка эффективности проектов в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0C66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Освещаются методы оценки инвестиционных проектов (NPV, IRR, срок окупаемости). Анализируются риски нефтегазовых проектов (геологические, ценовые, регуляторные). Рассматриваются подходы к формированию инвестиционной стратегии компании с учетом отраслевых трендов и макроэкономических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A13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33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5FA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263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A55F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21E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Прогнозирование и стратегическое планирование в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62E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методы прогнозирования (трендовый анализ, регрессионные модели). Анализируются сценарии развития нефтегазового рынка. Рассматриваются инструменты стратегического планирования с учетом изменений в энергопереходе, технологических инноваций и государственного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0D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D2C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7A40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FBF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67C4D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356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Оптимизация управления ресурсами и принятие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58F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Разбираются методы оптимизации производственных и финансовых процессов. Изучаются подходы к снижению себестоимости, управлению запасами, энергоэффективности. Рассматриваются кейсы по принятию управленческих решений на основе данных ТЭА. Формируются навыки подготовки аналитических отчетов для руководств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24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AED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E20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2CA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828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828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928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Жуков, С. В., Международные инструменты «зеленой» трансформации энергетического комплекса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Жуков, Н. В.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Попадько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, 2024. — 37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978-5-466-07061-3.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/954075 (дата обращения: 17.06.2025).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71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https://book.ru/book/954075</w:t>
              </w:r>
            </w:hyperlink>
          </w:p>
        </w:tc>
      </w:tr>
      <w:tr w:rsidR="00262CF0" w:rsidRPr="007E6725" w14:paraId="0C7DD2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C49E5B" w14:textId="77777777" w:rsidR="00262CF0" w:rsidRPr="00A928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Экономика и стратегия развития предприятий минерально-сырьевого комплекса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Ю. Ю.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Костюхин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, Н. Н. Никулин [и др.] ; под ред. Е. Ю. Сидоровой. — Москва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, 2022. — 376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978-5-406-09569-0.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/944558 (дата обращения: 17.06.2025).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BFF4D" w14:textId="77777777" w:rsidR="00262CF0" w:rsidRPr="007E6725" w:rsidRDefault="009971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https://book.ru/book/944558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828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75EAB9" w14:textId="77777777" w:rsidTr="007B550D">
        <w:tc>
          <w:tcPr>
            <w:tcW w:w="9345" w:type="dxa"/>
          </w:tcPr>
          <w:p w14:paraId="51FC05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28A837" w14:textId="77777777" w:rsidTr="007B550D">
        <w:tc>
          <w:tcPr>
            <w:tcW w:w="9345" w:type="dxa"/>
          </w:tcPr>
          <w:p w14:paraId="62BA8F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FD4671" w14:textId="77777777" w:rsidTr="007B550D">
        <w:tc>
          <w:tcPr>
            <w:tcW w:w="9345" w:type="dxa"/>
          </w:tcPr>
          <w:p w14:paraId="74CA11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5B12A1" w14:textId="77777777" w:rsidTr="007B550D">
        <w:tc>
          <w:tcPr>
            <w:tcW w:w="9345" w:type="dxa"/>
          </w:tcPr>
          <w:p w14:paraId="3D8416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828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71B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82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28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28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8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28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8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28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9289C">
              <w:rPr>
                <w:sz w:val="22"/>
                <w:szCs w:val="22"/>
              </w:rPr>
              <w:t>комплекс</w:t>
            </w:r>
            <w:proofErr w:type="gramStart"/>
            <w:r w:rsidRPr="00A9289C">
              <w:rPr>
                <w:sz w:val="22"/>
                <w:szCs w:val="22"/>
              </w:rPr>
              <w:t>"С</w:t>
            </w:r>
            <w:proofErr w:type="gramEnd"/>
            <w:r w:rsidRPr="00A9289C">
              <w:rPr>
                <w:sz w:val="22"/>
                <w:szCs w:val="22"/>
              </w:rPr>
              <w:t>пециализированная</w:t>
            </w:r>
            <w:proofErr w:type="spellEnd"/>
            <w:r w:rsidRPr="00A9289C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9289C">
              <w:rPr>
                <w:sz w:val="22"/>
                <w:szCs w:val="22"/>
              </w:rPr>
              <w:t>кресела</w:t>
            </w:r>
            <w:proofErr w:type="spellEnd"/>
            <w:r w:rsidRPr="00A9289C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9289C">
              <w:rPr>
                <w:sz w:val="22"/>
                <w:szCs w:val="22"/>
              </w:rPr>
              <w:t>.К</w:t>
            </w:r>
            <w:proofErr w:type="gramEnd"/>
            <w:r w:rsidRPr="00A9289C">
              <w:rPr>
                <w:sz w:val="22"/>
                <w:szCs w:val="22"/>
              </w:rPr>
              <w:t xml:space="preserve">омпьютер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 xml:space="preserve">5 4460/1Тб/8Гб/монитор </w:t>
            </w:r>
            <w:r w:rsidRPr="00A9289C">
              <w:rPr>
                <w:sz w:val="22"/>
                <w:szCs w:val="22"/>
                <w:lang w:val="en-US"/>
              </w:rPr>
              <w:t>Samsung</w:t>
            </w:r>
            <w:r w:rsidRPr="00A9289C">
              <w:rPr>
                <w:sz w:val="22"/>
                <w:szCs w:val="22"/>
              </w:rPr>
              <w:t xml:space="preserve"> 23" - 1 шт., Компьютер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 xml:space="preserve">5 4460/1Тб/8Гб/ монитор </w:t>
            </w:r>
            <w:r w:rsidRPr="00A9289C">
              <w:rPr>
                <w:sz w:val="22"/>
                <w:szCs w:val="22"/>
                <w:lang w:val="en-US"/>
              </w:rPr>
              <w:t>Samsung</w:t>
            </w:r>
            <w:r w:rsidRPr="00A9289C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89C" w14:paraId="7D2DBCB1" w14:textId="77777777" w:rsidTr="008416EB">
        <w:tc>
          <w:tcPr>
            <w:tcW w:w="7797" w:type="dxa"/>
            <w:shd w:val="clear" w:color="auto" w:fill="auto"/>
          </w:tcPr>
          <w:p w14:paraId="33E67558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28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289C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 xml:space="preserve">3-2100 2.4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9289C">
              <w:rPr>
                <w:sz w:val="22"/>
                <w:szCs w:val="22"/>
              </w:rPr>
              <w:t>/500/4/</w:t>
            </w:r>
            <w:r w:rsidRPr="00A9289C">
              <w:rPr>
                <w:sz w:val="22"/>
                <w:szCs w:val="22"/>
                <w:lang w:val="en-US"/>
              </w:rPr>
              <w:t>Acer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V</w:t>
            </w:r>
            <w:r w:rsidRPr="00A9289C">
              <w:rPr>
                <w:sz w:val="22"/>
                <w:szCs w:val="22"/>
              </w:rPr>
              <w:t xml:space="preserve">193 19" - 1 шт., Акустическая система </w:t>
            </w:r>
            <w:r w:rsidRPr="00A9289C">
              <w:rPr>
                <w:sz w:val="22"/>
                <w:szCs w:val="22"/>
                <w:lang w:val="en-US"/>
              </w:rPr>
              <w:t>JBL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CONTROL</w:t>
            </w:r>
            <w:r w:rsidRPr="00A9289C">
              <w:rPr>
                <w:sz w:val="22"/>
                <w:szCs w:val="22"/>
              </w:rPr>
              <w:t xml:space="preserve"> 25 </w:t>
            </w:r>
            <w:r w:rsidRPr="00A9289C">
              <w:rPr>
                <w:sz w:val="22"/>
                <w:szCs w:val="22"/>
                <w:lang w:val="en-US"/>
              </w:rPr>
              <w:t>WH</w:t>
            </w:r>
            <w:r w:rsidRPr="00A9289C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A9289C">
              <w:rPr>
                <w:sz w:val="22"/>
                <w:szCs w:val="22"/>
                <w:lang w:val="en-US"/>
              </w:rPr>
              <w:t>DRAPER</w:t>
            </w:r>
            <w:r w:rsidRPr="00A9289C">
              <w:rPr>
                <w:sz w:val="22"/>
                <w:szCs w:val="22"/>
              </w:rPr>
              <w:t xml:space="preserve">  96</w:t>
            </w:r>
            <w:proofErr w:type="gramEnd"/>
            <w:r w:rsidRPr="00A9289C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A9289C">
              <w:rPr>
                <w:sz w:val="22"/>
                <w:szCs w:val="22"/>
                <w:lang w:val="en-US"/>
              </w:rPr>
              <w:t>Panasonic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PT</w:t>
            </w:r>
            <w:r w:rsidRPr="00A9289C">
              <w:rPr>
                <w:sz w:val="22"/>
                <w:szCs w:val="22"/>
              </w:rPr>
              <w:t>-</w:t>
            </w:r>
            <w:r w:rsidRPr="00A9289C">
              <w:rPr>
                <w:sz w:val="22"/>
                <w:szCs w:val="22"/>
                <w:lang w:val="en-US"/>
              </w:rPr>
              <w:t>VX</w:t>
            </w:r>
            <w:r w:rsidRPr="00A9289C">
              <w:rPr>
                <w:sz w:val="22"/>
                <w:szCs w:val="22"/>
              </w:rPr>
              <w:t>610</w:t>
            </w:r>
            <w:r w:rsidRPr="00A9289C">
              <w:rPr>
                <w:sz w:val="22"/>
                <w:szCs w:val="22"/>
                <w:lang w:val="en-US"/>
              </w:rPr>
              <w:t>E</w:t>
            </w:r>
            <w:r w:rsidRPr="00A928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30760E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89C" w14:paraId="6825E17B" w14:textId="77777777" w:rsidTr="008416EB">
        <w:tc>
          <w:tcPr>
            <w:tcW w:w="7797" w:type="dxa"/>
            <w:shd w:val="clear" w:color="auto" w:fill="auto"/>
          </w:tcPr>
          <w:p w14:paraId="5EACC8B0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28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289C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core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>5-</w:t>
            </w:r>
            <w:r w:rsidRPr="00A9289C">
              <w:rPr>
                <w:sz w:val="22"/>
                <w:szCs w:val="22"/>
                <w:lang w:val="en-US"/>
              </w:rPr>
              <w:t>x</w:t>
            </w:r>
            <w:r w:rsidRPr="00A9289C">
              <w:rPr>
                <w:sz w:val="22"/>
                <w:szCs w:val="22"/>
              </w:rPr>
              <w:t>4-4460/8</w:t>
            </w:r>
            <w:r w:rsidRPr="00A9289C">
              <w:rPr>
                <w:sz w:val="22"/>
                <w:szCs w:val="22"/>
                <w:lang w:val="en-US"/>
              </w:rPr>
              <w:t>Gb</w:t>
            </w:r>
            <w:r w:rsidRPr="00A9289C">
              <w:rPr>
                <w:sz w:val="22"/>
                <w:szCs w:val="22"/>
              </w:rPr>
              <w:t>/1Тб/</w:t>
            </w:r>
            <w:r w:rsidRPr="00A9289C">
              <w:rPr>
                <w:sz w:val="22"/>
                <w:szCs w:val="22"/>
                <w:lang w:val="en-US"/>
              </w:rPr>
              <w:t>Samsung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s</w:t>
            </w:r>
            <w:r w:rsidRPr="00A9289C">
              <w:rPr>
                <w:sz w:val="22"/>
                <w:szCs w:val="22"/>
              </w:rPr>
              <w:t>23</w:t>
            </w:r>
            <w:r w:rsidRPr="00A9289C">
              <w:rPr>
                <w:sz w:val="22"/>
                <w:szCs w:val="22"/>
                <w:lang w:val="en-US"/>
              </w:rPr>
              <w:t>e</w:t>
            </w:r>
            <w:r w:rsidRPr="00A9289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A9289C">
              <w:rPr>
                <w:sz w:val="22"/>
                <w:szCs w:val="22"/>
                <w:lang w:val="en-US"/>
              </w:rPr>
              <w:t>Panasonic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PT</w:t>
            </w:r>
            <w:r w:rsidRPr="00A9289C">
              <w:rPr>
                <w:sz w:val="22"/>
                <w:szCs w:val="22"/>
              </w:rPr>
              <w:t>-</w:t>
            </w:r>
            <w:r w:rsidRPr="00A9289C">
              <w:rPr>
                <w:sz w:val="22"/>
                <w:szCs w:val="22"/>
                <w:lang w:val="en-US"/>
              </w:rPr>
              <w:t>VX</w:t>
            </w:r>
            <w:r w:rsidRPr="00A9289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Champion</w:t>
            </w:r>
            <w:r w:rsidRPr="00A9289C">
              <w:rPr>
                <w:sz w:val="22"/>
                <w:szCs w:val="22"/>
              </w:rPr>
              <w:t xml:space="preserve"> 244х183см </w:t>
            </w:r>
            <w:r w:rsidRPr="00A9289C">
              <w:rPr>
                <w:sz w:val="22"/>
                <w:szCs w:val="22"/>
                <w:lang w:val="en-US"/>
              </w:rPr>
              <w:t>SCM</w:t>
            </w:r>
            <w:r w:rsidRPr="00A9289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9BE17B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828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82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828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82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289C" w14:paraId="4EA32886" w14:textId="77777777" w:rsidTr="00A9289C">
        <w:tc>
          <w:tcPr>
            <w:tcW w:w="562" w:type="dxa"/>
          </w:tcPr>
          <w:p w14:paraId="482A3DCD" w14:textId="77777777" w:rsidR="00A9289C" w:rsidRPr="00872EF7" w:rsidRDefault="00A928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91C79A" w14:textId="77777777" w:rsidR="00A9289C" w:rsidRDefault="00A928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828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28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8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82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28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289C" w14:paraId="5A1C9382" w14:textId="77777777" w:rsidTr="00801458">
        <w:tc>
          <w:tcPr>
            <w:tcW w:w="2336" w:type="dxa"/>
          </w:tcPr>
          <w:p w14:paraId="4C518DAB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289C" w14:paraId="07658034" w14:textId="77777777" w:rsidTr="00801458">
        <w:tc>
          <w:tcPr>
            <w:tcW w:w="2336" w:type="dxa"/>
          </w:tcPr>
          <w:p w14:paraId="1553D698" w14:textId="78F29BFB" w:rsidR="005D65A5" w:rsidRPr="00A928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9289C" w14:paraId="738DC40F" w14:textId="77777777" w:rsidTr="00801458">
        <w:tc>
          <w:tcPr>
            <w:tcW w:w="2336" w:type="dxa"/>
          </w:tcPr>
          <w:p w14:paraId="1048158F" w14:textId="77777777" w:rsidR="005D65A5" w:rsidRPr="00A928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6FDBAD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64B55B0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23129D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9289C" w14:paraId="0D60034C" w14:textId="77777777" w:rsidTr="00801458">
        <w:tc>
          <w:tcPr>
            <w:tcW w:w="2336" w:type="dxa"/>
          </w:tcPr>
          <w:p w14:paraId="20A7680B" w14:textId="77777777" w:rsidR="005D65A5" w:rsidRPr="00A928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4F2A76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1CE11C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F4CCC2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928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3E7C37C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82897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D431F73" w14:textId="77777777" w:rsidR="00A9289C" w:rsidRPr="00A9289C" w:rsidRDefault="00A9289C" w:rsidP="00A9289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289C" w14:paraId="017DAAE3" w14:textId="77777777" w:rsidTr="00A9289C">
        <w:tc>
          <w:tcPr>
            <w:tcW w:w="562" w:type="dxa"/>
          </w:tcPr>
          <w:p w14:paraId="1905C2F7" w14:textId="77777777" w:rsidR="00A9289C" w:rsidRDefault="00A928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153422" w14:textId="77777777" w:rsidR="00A9289C" w:rsidRDefault="00A928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9289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28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82898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928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289C" w14:paraId="0267C479" w14:textId="77777777" w:rsidTr="00801458">
        <w:tc>
          <w:tcPr>
            <w:tcW w:w="2500" w:type="pct"/>
          </w:tcPr>
          <w:p w14:paraId="37F699C9" w14:textId="77777777" w:rsidR="00B8237E" w:rsidRPr="00A928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28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289C" w14:paraId="3F240151" w14:textId="77777777" w:rsidTr="00801458">
        <w:tc>
          <w:tcPr>
            <w:tcW w:w="2500" w:type="pct"/>
          </w:tcPr>
          <w:p w14:paraId="61E91592" w14:textId="61A0874C" w:rsidR="00B8237E" w:rsidRPr="00A9289C" w:rsidRDefault="00B8237E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9289C" w:rsidRDefault="005C548A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9289C" w14:paraId="6956AF98" w14:textId="77777777" w:rsidTr="00801458">
        <w:tc>
          <w:tcPr>
            <w:tcW w:w="2500" w:type="pct"/>
          </w:tcPr>
          <w:p w14:paraId="376B45C3" w14:textId="77777777" w:rsidR="00B8237E" w:rsidRPr="00A928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9602ACC" w14:textId="77777777" w:rsidR="00B8237E" w:rsidRPr="00A9289C" w:rsidRDefault="005C548A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928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289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82899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28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928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928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9289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9289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9289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A928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928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9289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A9289C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289C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4B8A7" w14:textId="77777777" w:rsidR="009971BF" w:rsidRDefault="009971BF" w:rsidP="00315CA6">
      <w:pPr>
        <w:spacing w:after="0" w:line="240" w:lineRule="auto"/>
      </w:pPr>
      <w:r>
        <w:separator/>
      </w:r>
    </w:p>
  </w:endnote>
  <w:endnote w:type="continuationSeparator" w:id="0">
    <w:p w14:paraId="6478A876" w14:textId="77777777" w:rsidR="009971BF" w:rsidRDefault="009971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1FF132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EF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EF57E" w14:textId="77777777" w:rsidR="009971BF" w:rsidRDefault="009971BF" w:rsidP="00315CA6">
      <w:pPr>
        <w:spacing w:after="0" w:line="240" w:lineRule="auto"/>
      </w:pPr>
      <w:r>
        <w:separator/>
      </w:r>
    </w:p>
  </w:footnote>
  <w:footnote w:type="continuationSeparator" w:id="0">
    <w:p w14:paraId="208BD5A3" w14:textId="77777777" w:rsidR="009971BF" w:rsidRDefault="009971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3E79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2EF7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71BF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289C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455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407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25F2C7-37EC-4C74-A371-246CB039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2952</Words>
  <Characters>16829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